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10" w:rsidRDefault="00EC759B" w:rsidP="00EC759B">
      <w:pPr>
        <w:ind w:left="0" w:firstLine="0"/>
        <w:jc w:val="center"/>
      </w:pPr>
      <w:r>
        <w:t>Analysis of Chico and QOLT Rubrics</w:t>
      </w:r>
    </w:p>
    <w:p w:rsidR="00EC759B" w:rsidRDefault="00EC759B" w:rsidP="00EC759B">
      <w:pPr>
        <w:ind w:left="0" w:firstLine="0"/>
        <w:jc w:val="center"/>
      </w:pPr>
    </w:p>
    <w:p w:rsidR="00EC759B" w:rsidRPr="00EC759B" w:rsidRDefault="00EC759B" w:rsidP="00EC759B">
      <w:pPr>
        <w:ind w:left="0" w:firstLine="0"/>
        <w:jc w:val="center"/>
        <w:rPr>
          <w:b/>
        </w:rPr>
      </w:pPr>
      <w:r w:rsidRPr="00EC759B">
        <w:rPr>
          <w:b/>
        </w:rPr>
        <w:t xml:space="preserve">Some </w:t>
      </w:r>
      <w:r>
        <w:rPr>
          <w:b/>
        </w:rPr>
        <w:t xml:space="preserve">Holistic </w:t>
      </w:r>
      <w:r w:rsidRPr="00EC759B">
        <w:rPr>
          <w:b/>
        </w:rPr>
        <w:t>Conclusions</w:t>
      </w:r>
    </w:p>
    <w:p w:rsidR="004D2F15" w:rsidRDefault="004D2F15" w:rsidP="00EC759B">
      <w:pPr>
        <w:ind w:left="0" w:firstLine="0"/>
      </w:pPr>
    </w:p>
    <w:p w:rsidR="004D2F15" w:rsidRDefault="004D2F15" w:rsidP="00EC759B">
      <w:pPr>
        <w:ind w:left="0" w:firstLine="0"/>
      </w:pPr>
      <w:r>
        <w:t>Both rubrics address the importance of:</w:t>
      </w:r>
    </w:p>
    <w:p w:rsidR="004D2F15" w:rsidRDefault="004D2F15" w:rsidP="004D2F15">
      <w:pPr>
        <w:pStyle w:val="ListParagraph"/>
        <w:numPr>
          <w:ilvl w:val="0"/>
          <w:numId w:val="5"/>
        </w:numPr>
      </w:pPr>
      <w:r>
        <w:t>Clear expectations for online learning and appropriate student resources</w:t>
      </w:r>
      <w:r w:rsidR="00C633C7">
        <w:t xml:space="preserve"> to support online learning.</w:t>
      </w:r>
    </w:p>
    <w:p w:rsidR="004D2F15" w:rsidRDefault="004D2F15" w:rsidP="004D2F15">
      <w:pPr>
        <w:pStyle w:val="ListParagraph"/>
        <w:numPr>
          <w:ilvl w:val="0"/>
          <w:numId w:val="5"/>
        </w:numPr>
      </w:pPr>
      <w:r>
        <w:t>Alignment of clear goals (or outcomes), activities, and assessments.</w:t>
      </w:r>
    </w:p>
    <w:p w:rsidR="004D2F15" w:rsidRDefault="004D2F15" w:rsidP="004D2F15">
      <w:pPr>
        <w:pStyle w:val="ListParagraph"/>
        <w:numPr>
          <w:ilvl w:val="0"/>
          <w:numId w:val="5"/>
        </w:numPr>
      </w:pPr>
      <w:r>
        <w:t>Rich and varied learning experiences.</w:t>
      </w:r>
    </w:p>
    <w:p w:rsidR="004D2F15" w:rsidRDefault="004D2F15" w:rsidP="004D2F15">
      <w:pPr>
        <w:pStyle w:val="ListParagraph"/>
        <w:numPr>
          <w:ilvl w:val="0"/>
          <w:numId w:val="5"/>
        </w:numPr>
      </w:pPr>
      <w:r>
        <w:t>Effective use of technology for management, interaction, and learning.</w:t>
      </w:r>
    </w:p>
    <w:p w:rsidR="00C633C7" w:rsidRDefault="00C633C7" w:rsidP="004D2F15">
      <w:pPr>
        <w:pStyle w:val="ListParagraph"/>
        <w:numPr>
          <w:ilvl w:val="0"/>
          <w:numId w:val="5"/>
        </w:numPr>
      </w:pPr>
      <w:r>
        <w:t>Opportunities for students to assess and provide feedback.</w:t>
      </w:r>
    </w:p>
    <w:p w:rsidR="004D2F15" w:rsidRDefault="004D2F15" w:rsidP="004D2F15">
      <w:pPr>
        <w:pStyle w:val="ListParagraph"/>
        <w:ind w:firstLine="0"/>
      </w:pPr>
    </w:p>
    <w:p w:rsidR="004D2F15" w:rsidRDefault="004D2F15" w:rsidP="00EC759B">
      <w:pPr>
        <w:ind w:left="0" w:firstLine="0"/>
      </w:pPr>
    </w:p>
    <w:p w:rsidR="00EC759B" w:rsidRDefault="00EC759B" w:rsidP="00EC759B">
      <w:pPr>
        <w:ind w:left="0" w:firstLine="0"/>
      </w:pPr>
      <w:r>
        <w:t xml:space="preserve">QOLT has more specific direction for:  </w:t>
      </w:r>
    </w:p>
    <w:p w:rsidR="00EC759B" w:rsidRDefault="00EC759B" w:rsidP="00EC759B">
      <w:pPr>
        <w:pStyle w:val="ListParagraph"/>
        <w:numPr>
          <w:ilvl w:val="0"/>
          <w:numId w:val="3"/>
        </w:numPr>
      </w:pPr>
      <w:r>
        <w:t>Resources and activities that should be in place at the beginning of a course and that should be used to close a course.</w:t>
      </w:r>
    </w:p>
    <w:p w:rsidR="00EC759B" w:rsidRDefault="00EC759B" w:rsidP="00EC759B">
      <w:pPr>
        <w:pStyle w:val="ListParagraph"/>
        <w:numPr>
          <w:ilvl w:val="0"/>
          <w:numId w:val="3"/>
        </w:numPr>
      </w:pPr>
      <w:r>
        <w:t>Accessibility and universal design.</w:t>
      </w:r>
    </w:p>
    <w:p w:rsidR="00EC759B" w:rsidRDefault="00EC759B" w:rsidP="00EC759B">
      <w:pPr>
        <w:pStyle w:val="ListParagraph"/>
        <w:numPr>
          <w:ilvl w:val="0"/>
          <w:numId w:val="3"/>
        </w:numPr>
      </w:pPr>
      <w:r>
        <w:t>Building community and student interaction.</w:t>
      </w:r>
    </w:p>
    <w:p w:rsidR="00EC759B" w:rsidRDefault="00EC759B" w:rsidP="00EC759B">
      <w:pPr>
        <w:pStyle w:val="ListParagraph"/>
        <w:numPr>
          <w:ilvl w:val="0"/>
          <w:numId w:val="3"/>
        </w:numPr>
      </w:pPr>
      <w:r>
        <w:t>Instructor facilitation of a course.</w:t>
      </w:r>
    </w:p>
    <w:p w:rsidR="00EC759B" w:rsidRDefault="00996FE3" w:rsidP="00EC759B">
      <w:pPr>
        <w:pStyle w:val="ListParagraph"/>
        <w:numPr>
          <w:ilvl w:val="0"/>
          <w:numId w:val="3"/>
        </w:numPr>
      </w:pPr>
      <w:r>
        <w:t>O</w:t>
      </w:r>
      <w:r w:rsidR="00EC759B">
        <w:t>ptional category on mobile platforms.</w:t>
      </w:r>
    </w:p>
    <w:p w:rsidR="00EC759B" w:rsidRDefault="00EC759B" w:rsidP="00EC759B">
      <w:pPr>
        <w:pStyle w:val="ListParagraph"/>
        <w:ind w:firstLine="0"/>
      </w:pPr>
    </w:p>
    <w:p w:rsidR="00EC759B" w:rsidRDefault="00EC759B" w:rsidP="00EC759B">
      <w:pPr>
        <w:ind w:hanging="720"/>
      </w:pPr>
      <w:r>
        <w:t>Chico has more specific direction for:</w:t>
      </w:r>
    </w:p>
    <w:p w:rsidR="00EC759B" w:rsidRDefault="004D2F15" w:rsidP="004D2F15">
      <w:pPr>
        <w:pStyle w:val="ListParagraph"/>
        <w:numPr>
          <w:ilvl w:val="0"/>
          <w:numId w:val="4"/>
        </w:numPr>
      </w:pPr>
      <w:r>
        <w:t xml:space="preserve">Whole course </w:t>
      </w:r>
      <w:r w:rsidR="00EC759B">
        <w:t>organization, design, and functionality.</w:t>
      </w:r>
    </w:p>
    <w:p w:rsidR="00EC759B" w:rsidRDefault="004D2F15" w:rsidP="004D2F15">
      <w:pPr>
        <w:pStyle w:val="ListParagraph"/>
        <w:numPr>
          <w:ilvl w:val="0"/>
          <w:numId w:val="4"/>
        </w:numPr>
      </w:pPr>
      <w:r>
        <w:t>S</w:t>
      </w:r>
      <w:r w:rsidR="00EC759B">
        <w:t xml:space="preserve">tudent assessment related to course goals and </w:t>
      </w:r>
      <w:r>
        <w:t xml:space="preserve">for </w:t>
      </w:r>
      <w:r w:rsidR="00EC759B">
        <w:t>student feedback.</w:t>
      </w:r>
    </w:p>
    <w:p w:rsidR="004D2F15" w:rsidRDefault="004D2F15" w:rsidP="00C633C7">
      <w:pPr>
        <w:ind w:left="0" w:firstLine="0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06491B" w:rsidRDefault="0006491B" w:rsidP="00C633C7">
      <w:pPr>
        <w:ind w:left="0" w:firstLine="0"/>
        <w:jc w:val="center"/>
      </w:pPr>
    </w:p>
    <w:p w:rsidR="00BB63DF" w:rsidRDefault="00C633C7" w:rsidP="00C633C7">
      <w:pPr>
        <w:ind w:left="0" w:firstLine="0"/>
        <w:jc w:val="center"/>
      </w:pPr>
      <w:bookmarkStart w:id="0" w:name="_GoBack"/>
      <w:bookmarkEnd w:id="0"/>
      <w:r>
        <w:t xml:space="preserve">Analysis </w:t>
      </w:r>
      <w:r w:rsidR="00BB63DF">
        <w:t xml:space="preserve">of Chico </w:t>
      </w:r>
      <w:r>
        <w:t>a</w:t>
      </w:r>
      <w:r w:rsidR="00BB63DF">
        <w:t>nd QOLT Rubrics</w:t>
      </w:r>
    </w:p>
    <w:p w:rsidR="00C633C7" w:rsidRDefault="00C633C7" w:rsidP="00C633C7">
      <w:pPr>
        <w:ind w:left="0" w:firstLine="0"/>
        <w:jc w:val="center"/>
      </w:pPr>
    </w:p>
    <w:p w:rsidR="00374786" w:rsidRDefault="00374786" w:rsidP="00374786">
      <w:pPr>
        <w:ind w:left="0" w:firstLine="0"/>
        <w:jc w:val="center"/>
        <w:rPr>
          <w:b/>
        </w:rPr>
      </w:pPr>
      <w:r w:rsidRPr="00374786">
        <w:rPr>
          <w:b/>
        </w:rPr>
        <w:t>At-A-Glance</w:t>
      </w:r>
      <w:r w:rsidR="00C633C7">
        <w:rPr>
          <w:b/>
        </w:rPr>
        <w:t xml:space="preserve"> Alignment</w:t>
      </w:r>
    </w:p>
    <w:p w:rsidR="00BB63DF" w:rsidRDefault="00374786" w:rsidP="00374786">
      <w:pPr>
        <w:ind w:left="0" w:firstLine="0"/>
        <w:jc w:val="center"/>
      </w:pPr>
      <w:r>
        <w:t xml:space="preserve"> </w:t>
      </w:r>
    </w:p>
    <w:p w:rsidR="00EC759B" w:rsidRPr="00502F78" w:rsidRDefault="00EC759B" w:rsidP="00EC759B">
      <w:pPr>
        <w:ind w:left="0" w:firstLine="0"/>
        <w:rPr>
          <w:i/>
        </w:rPr>
      </w:pPr>
      <w:r w:rsidRPr="00835C9F">
        <w:rPr>
          <w:b/>
          <w:i/>
        </w:rPr>
        <w:t>This analysis plugs QOLT</w:t>
      </w:r>
      <w:r w:rsidR="00835C9F" w:rsidRPr="00835C9F">
        <w:rPr>
          <w:b/>
          <w:i/>
        </w:rPr>
        <w:t xml:space="preserve"> into Chico categories</w:t>
      </w:r>
      <w:r w:rsidRPr="00835C9F">
        <w:rPr>
          <w:b/>
          <w:i/>
        </w:rPr>
        <w:t>.</w:t>
      </w:r>
      <w:r w:rsidR="00835C9F">
        <w:rPr>
          <w:i/>
        </w:rPr>
        <w:t xml:space="preserve"> For a further breakdown objective-by-objective, refer to the Detailed Analysis document. </w:t>
      </w:r>
    </w:p>
    <w:p w:rsidR="00EC759B" w:rsidRDefault="00EC759B" w:rsidP="00EC759B">
      <w:pPr>
        <w:ind w:left="0" w:firstLine="0"/>
      </w:pPr>
    </w:p>
    <w:tbl>
      <w:tblPr>
        <w:tblStyle w:val="TableGrid"/>
        <w:tblW w:w="0" w:type="auto"/>
        <w:tblLook w:val="04A0"/>
      </w:tblPr>
      <w:tblGrid>
        <w:gridCol w:w="7308"/>
        <w:gridCol w:w="7308"/>
      </w:tblGrid>
      <w:tr w:rsidR="00BB63DF" w:rsidTr="00BB63DF">
        <w:tc>
          <w:tcPr>
            <w:tcW w:w="7308" w:type="dxa"/>
            <w:shd w:val="clear" w:color="auto" w:fill="EAF1DD" w:themeFill="accent3" w:themeFillTint="33"/>
          </w:tcPr>
          <w:p w:rsidR="00BB63DF" w:rsidRPr="00340C9A" w:rsidRDefault="00BB63DF" w:rsidP="00BB63DF">
            <w:pPr>
              <w:ind w:left="0" w:firstLine="0"/>
              <w:jc w:val="center"/>
              <w:rPr>
                <w:b/>
              </w:rPr>
            </w:pPr>
            <w:r w:rsidRPr="00340C9A">
              <w:rPr>
                <w:b/>
              </w:rPr>
              <w:t>Chico</w:t>
            </w:r>
          </w:p>
        </w:tc>
        <w:tc>
          <w:tcPr>
            <w:tcW w:w="7308" w:type="dxa"/>
            <w:shd w:val="clear" w:color="auto" w:fill="EAF1DD" w:themeFill="accent3" w:themeFillTint="33"/>
          </w:tcPr>
          <w:p w:rsidR="00BB63DF" w:rsidRPr="00340C9A" w:rsidRDefault="00BB63DF" w:rsidP="00BB63DF">
            <w:pPr>
              <w:ind w:left="0" w:firstLine="0"/>
              <w:jc w:val="center"/>
              <w:rPr>
                <w:b/>
              </w:rPr>
            </w:pPr>
            <w:r w:rsidRPr="00340C9A">
              <w:rPr>
                <w:b/>
              </w:rPr>
              <w:t>QOLT</w:t>
            </w:r>
          </w:p>
        </w:tc>
      </w:tr>
      <w:tr w:rsidR="00BB63DF" w:rsidTr="00374786">
        <w:tc>
          <w:tcPr>
            <w:tcW w:w="7308" w:type="dxa"/>
            <w:shd w:val="clear" w:color="auto" w:fill="FDE9D9" w:themeFill="accent6" w:themeFillTint="33"/>
          </w:tcPr>
          <w:p w:rsidR="00BB63DF" w:rsidRDefault="00BB63DF" w:rsidP="00BB63DF">
            <w:pPr>
              <w:ind w:left="0" w:firstLine="0"/>
            </w:pPr>
            <w:r>
              <w:t>Category 1:  Learner Support and Resources</w:t>
            </w:r>
          </w:p>
        </w:tc>
        <w:tc>
          <w:tcPr>
            <w:tcW w:w="7308" w:type="dxa"/>
            <w:shd w:val="clear" w:color="auto" w:fill="FDE9D9" w:themeFill="accent6" w:themeFillTint="33"/>
          </w:tcPr>
          <w:p w:rsidR="00BB63DF" w:rsidRDefault="00BB63DF" w:rsidP="00BB63DF">
            <w:pPr>
              <w:ind w:left="0" w:firstLine="0"/>
            </w:pPr>
            <w:r>
              <w:t>Section 7:  Learner Support and Resources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</w:tcPr>
          <w:p w:rsidR="00BB63DF" w:rsidRDefault="00C96F4F" w:rsidP="00BB63DF">
            <w:pPr>
              <w:ind w:left="342" w:hanging="342"/>
            </w:pPr>
            <w:r>
              <w:t xml:space="preserve">Some </w:t>
            </w:r>
            <w:r w:rsidR="00BB63DF">
              <w:t>of Section 1:  Course Overview and Introduction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</w:tcPr>
          <w:p w:rsidR="00BB63DF" w:rsidRDefault="00BB63DF" w:rsidP="00BB63DF">
            <w:pPr>
              <w:ind w:left="342" w:hanging="342"/>
            </w:pPr>
            <w:r>
              <w:t>Some of Section 3:  Instructional Materials and Resources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</w:tcPr>
          <w:p w:rsidR="00BB63DF" w:rsidRDefault="00BB63DF" w:rsidP="00BB63DF">
            <w:pPr>
              <w:ind w:left="0" w:firstLine="0"/>
            </w:pPr>
            <w:r>
              <w:t>Some of Section 6:  Technology for Teaching and Learning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</w:tcPr>
          <w:p w:rsidR="00BB63DF" w:rsidRDefault="00BB63DF" w:rsidP="00BB63DF">
            <w:pPr>
              <w:ind w:left="342" w:hanging="342"/>
            </w:pPr>
            <w:r>
              <w:t>Some of Section 8:  Accessibility and Universal Design</w:t>
            </w:r>
          </w:p>
        </w:tc>
      </w:tr>
      <w:tr w:rsidR="00BB63DF" w:rsidTr="00BB63DF"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0" w:firstLine="0"/>
            </w:pP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</w:p>
        </w:tc>
      </w:tr>
      <w:tr w:rsidR="00BB63DF" w:rsidTr="00374786">
        <w:tc>
          <w:tcPr>
            <w:tcW w:w="7308" w:type="dxa"/>
            <w:shd w:val="clear" w:color="auto" w:fill="FDE9D9" w:themeFill="accent6" w:themeFillTint="33"/>
          </w:tcPr>
          <w:p w:rsidR="00BB63DF" w:rsidRDefault="00BB63DF" w:rsidP="00BB63DF">
            <w:pPr>
              <w:ind w:left="0" w:firstLine="0"/>
            </w:pPr>
            <w:r>
              <w:t>Category 2:  Online Organization and Design</w:t>
            </w: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  <w:r>
              <w:t>Most of Section 1:  Course Overview and Introduction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</w:tcPr>
          <w:p w:rsidR="00BB63DF" w:rsidRDefault="00BB63DF" w:rsidP="00BB63DF">
            <w:pPr>
              <w:ind w:left="342" w:hanging="342"/>
            </w:pPr>
            <w:r>
              <w:t>Some of Section 4:  Student Interaction and Community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</w:tcPr>
          <w:p w:rsidR="00BB63DF" w:rsidRDefault="00BB63DF" w:rsidP="00BB63DF">
            <w:pPr>
              <w:ind w:left="342" w:hanging="342"/>
            </w:pPr>
            <w:r>
              <w:t>Section 8:  Accessibility and Universal Design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  <w:r>
              <w:t>Section 9:  Course Summary and Wrap-Up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0" w:firstLine="180"/>
            </w:pP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</w:p>
        </w:tc>
      </w:tr>
      <w:tr w:rsidR="00BB63DF" w:rsidTr="00374786">
        <w:tc>
          <w:tcPr>
            <w:tcW w:w="7308" w:type="dxa"/>
            <w:shd w:val="clear" w:color="auto" w:fill="FDE9D9" w:themeFill="accent6" w:themeFillTint="33"/>
          </w:tcPr>
          <w:p w:rsidR="00BB63DF" w:rsidRDefault="00BB63DF" w:rsidP="00BB63DF">
            <w:pPr>
              <w:ind w:left="0" w:firstLine="0"/>
            </w:pPr>
            <w:r>
              <w:t>Category 3:  Instructional Design and Delivery</w:t>
            </w: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</w:p>
        </w:tc>
      </w:tr>
      <w:tr w:rsidR="005D3ABF" w:rsidTr="005D3ABF">
        <w:tc>
          <w:tcPr>
            <w:tcW w:w="7308" w:type="dxa"/>
          </w:tcPr>
          <w:p w:rsidR="005D3ABF" w:rsidRDefault="005D3ABF" w:rsidP="00BB63DF">
            <w:pPr>
              <w:ind w:left="630" w:hanging="450"/>
            </w:pPr>
          </w:p>
        </w:tc>
        <w:tc>
          <w:tcPr>
            <w:tcW w:w="7308" w:type="dxa"/>
            <w:shd w:val="clear" w:color="auto" w:fill="auto"/>
          </w:tcPr>
          <w:p w:rsidR="005D3ABF" w:rsidRDefault="005D3ABF" w:rsidP="00BB63DF">
            <w:pPr>
              <w:ind w:left="342" w:hanging="342"/>
            </w:pPr>
            <w:r>
              <w:t>Some of Section 2:  Assessment of Student Learning</w:t>
            </w:r>
          </w:p>
        </w:tc>
      </w:tr>
      <w:tr w:rsidR="00BB63DF" w:rsidTr="005D3ABF">
        <w:tc>
          <w:tcPr>
            <w:tcW w:w="7308" w:type="dxa"/>
          </w:tcPr>
          <w:p w:rsidR="00BB63DF" w:rsidRDefault="00BB63DF" w:rsidP="00BB63DF">
            <w:pPr>
              <w:ind w:left="630" w:hanging="450"/>
            </w:pP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  <w:r>
              <w:t>Much of Section 4:  Student Interaction and Community</w:t>
            </w:r>
          </w:p>
        </w:tc>
      </w:tr>
      <w:tr w:rsidR="00BB63DF" w:rsidTr="005D3ABF">
        <w:tc>
          <w:tcPr>
            <w:tcW w:w="7308" w:type="dxa"/>
          </w:tcPr>
          <w:p w:rsidR="00BB63DF" w:rsidRDefault="00BB63DF" w:rsidP="00BB63DF">
            <w:pPr>
              <w:ind w:left="630" w:hanging="450"/>
            </w:pPr>
          </w:p>
        </w:tc>
        <w:tc>
          <w:tcPr>
            <w:tcW w:w="7308" w:type="dxa"/>
            <w:shd w:val="clear" w:color="auto" w:fill="auto"/>
          </w:tcPr>
          <w:p w:rsidR="00BB63DF" w:rsidRDefault="00BB63DF" w:rsidP="00BB63DF">
            <w:pPr>
              <w:ind w:left="342" w:hanging="342"/>
            </w:pPr>
            <w:r>
              <w:t>Section 5:  Facilitation and Instruction (Course Delivery)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630" w:hanging="450"/>
            </w:pPr>
          </w:p>
        </w:tc>
        <w:tc>
          <w:tcPr>
            <w:tcW w:w="7308" w:type="dxa"/>
          </w:tcPr>
          <w:p w:rsidR="00BB63DF" w:rsidRPr="005D3ABF" w:rsidRDefault="005D3ABF" w:rsidP="00BB63DF">
            <w:pPr>
              <w:ind w:left="342" w:hanging="342"/>
            </w:pPr>
            <w:r w:rsidRPr="005D3ABF">
              <w:t>A bit of Section 8:  Accessibility and Universal Design</w:t>
            </w:r>
          </w:p>
        </w:tc>
      </w:tr>
      <w:tr w:rsidR="00BB63DF" w:rsidTr="00BB63DF">
        <w:tc>
          <w:tcPr>
            <w:tcW w:w="7308" w:type="dxa"/>
          </w:tcPr>
          <w:p w:rsidR="00BB63DF" w:rsidRDefault="00BB63DF" w:rsidP="00BB63DF">
            <w:pPr>
              <w:ind w:left="630" w:hanging="450"/>
            </w:pPr>
          </w:p>
        </w:tc>
        <w:tc>
          <w:tcPr>
            <w:tcW w:w="7308" w:type="dxa"/>
          </w:tcPr>
          <w:p w:rsidR="00BB63DF" w:rsidRDefault="00BB63DF" w:rsidP="00BB63DF">
            <w:pPr>
              <w:ind w:left="342" w:hanging="342"/>
            </w:pPr>
          </w:p>
        </w:tc>
      </w:tr>
      <w:tr w:rsidR="00BB63DF" w:rsidTr="00374786">
        <w:tc>
          <w:tcPr>
            <w:tcW w:w="7308" w:type="dxa"/>
            <w:shd w:val="clear" w:color="auto" w:fill="FDE9D9" w:themeFill="accent6" w:themeFillTint="33"/>
          </w:tcPr>
          <w:p w:rsidR="00BB63DF" w:rsidRDefault="00BB63DF" w:rsidP="00BB63DF">
            <w:pPr>
              <w:ind w:left="0" w:firstLine="0"/>
            </w:pPr>
            <w:r>
              <w:t>Category 4:  Assessment and Evaluation of Student Learning</w:t>
            </w:r>
          </w:p>
        </w:tc>
        <w:tc>
          <w:tcPr>
            <w:tcW w:w="7308" w:type="dxa"/>
            <w:shd w:val="clear" w:color="auto" w:fill="FDE9D9" w:themeFill="accent6" w:themeFillTint="33"/>
          </w:tcPr>
          <w:p w:rsidR="00BB63DF" w:rsidRDefault="00BB63DF" w:rsidP="00BB63DF">
            <w:pPr>
              <w:ind w:left="0" w:firstLine="0"/>
            </w:pPr>
            <w:r>
              <w:t>Section 2:  Assessment of Student Learning</w:t>
            </w:r>
          </w:p>
        </w:tc>
      </w:tr>
      <w:tr w:rsidR="005D3ABF" w:rsidTr="00BB63DF">
        <w:tc>
          <w:tcPr>
            <w:tcW w:w="7308" w:type="dxa"/>
          </w:tcPr>
          <w:p w:rsidR="005D3ABF" w:rsidRDefault="005D3ABF" w:rsidP="00BB63DF">
            <w:pPr>
              <w:ind w:left="540"/>
            </w:pPr>
          </w:p>
        </w:tc>
        <w:tc>
          <w:tcPr>
            <w:tcW w:w="7308" w:type="dxa"/>
          </w:tcPr>
          <w:p w:rsidR="005D3ABF" w:rsidRDefault="007807F0" w:rsidP="008D776B">
            <w:pPr>
              <w:ind w:left="342" w:hanging="342"/>
            </w:pPr>
            <w:r>
              <w:t>A bit of S</w:t>
            </w:r>
            <w:r w:rsidR="005D3ABF">
              <w:t>ection 5:  Facilitation and Instruction (Course Delivery)</w:t>
            </w:r>
          </w:p>
        </w:tc>
      </w:tr>
      <w:tr w:rsidR="005D3ABF" w:rsidTr="00BB63DF">
        <w:tc>
          <w:tcPr>
            <w:tcW w:w="7308" w:type="dxa"/>
          </w:tcPr>
          <w:p w:rsidR="005D3ABF" w:rsidRDefault="005D3ABF" w:rsidP="00BB63DF">
            <w:pPr>
              <w:ind w:left="540"/>
            </w:pPr>
          </w:p>
        </w:tc>
        <w:tc>
          <w:tcPr>
            <w:tcW w:w="7308" w:type="dxa"/>
          </w:tcPr>
          <w:p w:rsidR="005D3ABF" w:rsidRPr="005D3ABF" w:rsidRDefault="005D3ABF" w:rsidP="008D776B">
            <w:pPr>
              <w:ind w:left="342" w:hanging="342"/>
            </w:pPr>
            <w:r w:rsidRPr="005D3ABF">
              <w:t>A bit of Section 8:  Accessibility and Universal Design</w:t>
            </w:r>
          </w:p>
        </w:tc>
      </w:tr>
      <w:tr w:rsidR="005D3ABF" w:rsidTr="00BB63DF">
        <w:tc>
          <w:tcPr>
            <w:tcW w:w="7308" w:type="dxa"/>
          </w:tcPr>
          <w:p w:rsidR="005D3ABF" w:rsidRDefault="005D3ABF" w:rsidP="00BB63DF">
            <w:pPr>
              <w:ind w:left="540"/>
            </w:pPr>
          </w:p>
        </w:tc>
        <w:tc>
          <w:tcPr>
            <w:tcW w:w="7308" w:type="dxa"/>
          </w:tcPr>
          <w:p w:rsidR="005D3ABF" w:rsidRDefault="005D3ABF" w:rsidP="00BB63DF">
            <w:pPr>
              <w:ind w:left="432" w:hanging="432"/>
            </w:pPr>
            <w:r>
              <w:t>Some of Section 9:  Course Summary and Wrap-Up</w:t>
            </w:r>
          </w:p>
        </w:tc>
      </w:tr>
      <w:tr w:rsidR="00502F78" w:rsidTr="00BB63DF">
        <w:tc>
          <w:tcPr>
            <w:tcW w:w="7308" w:type="dxa"/>
          </w:tcPr>
          <w:p w:rsidR="00502F78" w:rsidRDefault="00502F78" w:rsidP="00BB63DF">
            <w:pPr>
              <w:ind w:left="540"/>
            </w:pPr>
          </w:p>
        </w:tc>
        <w:tc>
          <w:tcPr>
            <w:tcW w:w="7308" w:type="dxa"/>
          </w:tcPr>
          <w:p w:rsidR="00502F78" w:rsidRDefault="00502F78" w:rsidP="00BB63DF">
            <w:pPr>
              <w:ind w:left="432" w:hanging="432"/>
            </w:pPr>
          </w:p>
        </w:tc>
      </w:tr>
      <w:tr w:rsidR="005D3ABF" w:rsidTr="00374786">
        <w:tc>
          <w:tcPr>
            <w:tcW w:w="7308" w:type="dxa"/>
            <w:shd w:val="clear" w:color="auto" w:fill="FDE9D9" w:themeFill="accent6" w:themeFillTint="33"/>
          </w:tcPr>
          <w:p w:rsidR="005D3ABF" w:rsidRDefault="005D3ABF" w:rsidP="00BB63DF">
            <w:pPr>
              <w:ind w:left="0" w:firstLine="0"/>
            </w:pPr>
            <w:r>
              <w:t>Category 5:  Innovative Teaching with Technology</w:t>
            </w:r>
          </w:p>
        </w:tc>
        <w:tc>
          <w:tcPr>
            <w:tcW w:w="7308" w:type="dxa"/>
            <w:shd w:val="clear" w:color="auto" w:fill="FDE9D9" w:themeFill="accent6" w:themeFillTint="33"/>
          </w:tcPr>
          <w:p w:rsidR="005D3ABF" w:rsidRDefault="005D3ABF" w:rsidP="00BB63DF">
            <w:pPr>
              <w:ind w:left="0" w:firstLine="0"/>
            </w:pPr>
            <w:r>
              <w:t>Section 6:  Technology for Teaching and Learning</w:t>
            </w:r>
          </w:p>
        </w:tc>
      </w:tr>
      <w:tr w:rsidR="005D3ABF" w:rsidTr="00BB63DF">
        <w:tc>
          <w:tcPr>
            <w:tcW w:w="7308" w:type="dxa"/>
            <w:shd w:val="clear" w:color="auto" w:fill="auto"/>
          </w:tcPr>
          <w:p w:rsidR="005D3ABF" w:rsidRDefault="005D3ABF" w:rsidP="00BB63DF">
            <w:pPr>
              <w:ind w:left="540"/>
            </w:pPr>
          </w:p>
        </w:tc>
        <w:tc>
          <w:tcPr>
            <w:tcW w:w="7308" w:type="dxa"/>
          </w:tcPr>
          <w:p w:rsidR="005D3ABF" w:rsidRDefault="00502F78" w:rsidP="00BB63DF">
            <w:pPr>
              <w:ind w:left="0" w:firstLine="0"/>
            </w:pPr>
            <w:r>
              <w:t>A bit of Section 8</w:t>
            </w:r>
            <w:r w:rsidR="0025253D">
              <w:t xml:space="preserve">:  </w:t>
            </w:r>
            <w:r w:rsidR="0025253D" w:rsidRPr="005D3ABF">
              <w:t>Accessibility and Universal Design</w:t>
            </w:r>
          </w:p>
        </w:tc>
      </w:tr>
      <w:tr w:rsidR="005D3ABF" w:rsidTr="00502F78">
        <w:tc>
          <w:tcPr>
            <w:tcW w:w="7308" w:type="dxa"/>
            <w:shd w:val="clear" w:color="auto" w:fill="auto"/>
          </w:tcPr>
          <w:p w:rsidR="005D3ABF" w:rsidRDefault="005D3ABF" w:rsidP="00BB63DF">
            <w:pPr>
              <w:ind w:left="540"/>
            </w:pPr>
          </w:p>
        </w:tc>
        <w:tc>
          <w:tcPr>
            <w:tcW w:w="7308" w:type="dxa"/>
            <w:shd w:val="clear" w:color="auto" w:fill="auto"/>
          </w:tcPr>
          <w:p w:rsidR="005D3ABF" w:rsidRDefault="00502F78" w:rsidP="00BB63DF">
            <w:pPr>
              <w:ind w:left="0" w:firstLine="0"/>
            </w:pPr>
            <w:r>
              <w:t>Section 10:  Mobile Design Readiness (Optional)</w:t>
            </w:r>
          </w:p>
        </w:tc>
      </w:tr>
      <w:tr w:rsidR="00502F78" w:rsidTr="00502F78">
        <w:tc>
          <w:tcPr>
            <w:tcW w:w="7308" w:type="dxa"/>
            <w:shd w:val="clear" w:color="auto" w:fill="auto"/>
          </w:tcPr>
          <w:p w:rsidR="00502F78" w:rsidRDefault="00502F78" w:rsidP="00BB63DF">
            <w:pPr>
              <w:ind w:left="0" w:firstLine="0"/>
            </w:pPr>
          </w:p>
        </w:tc>
        <w:tc>
          <w:tcPr>
            <w:tcW w:w="7308" w:type="dxa"/>
            <w:shd w:val="clear" w:color="auto" w:fill="auto"/>
          </w:tcPr>
          <w:p w:rsidR="00502F78" w:rsidRDefault="00502F78" w:rsidP="00BB63DF">
            <w:pPr>
              <w:ind w:left="0" w:firstLine="0"/>
            </w:pPr>
          </w:p>
        </w:tc>
      </w:tr>
      <w:tr w:rsidR="005D3ABF" w:rsidTr="00374786">
        <w:tc>
          <w:tcPr>
            <w:tcW w:w="7308" w:type="dxa"/>
            <w:shd w:val="clear" w:color="auto" w:fill="FDE9D9" w:themeFill="accent6" w:themeFillTint="33"/>
          </w:tcPr>
          <w:p w:rsidR="005D3ABF" w:rsidRDefault="005D3ABF" w:rsidP="00BB63DF">
            <w:pPr>
              <w:ind w:left="0" w:firstLine="0"/>
            </w:pPr>
            <w:r>
              <w:t>Category 6:  Faculty Use of Student Feedback</w:t>
            </w:r>
          </w:p>
        </w:tc>
        <w:tc>
          <w:tcPr>
            <w:tcW w:w="7308" w:type="dxa"/>
            <w:shd w:val="clear" w:color="auto" w:fill="auto"/>
          </w:tcPr>
          <w:p w:rsidR="005D3ABF" w:rsidRDefault="0025253D" w:rsidP="00BB63DF">
            <w:pPr>
              <w:ind w:left="0" w:firstLine="0"/>
            </w:pPr>
            <w:r>
              <w:t>A bit of Section 2:  Assessment of Student Learning</w:t>
            </w:r>
          </w:p>
        </w:tc>
      </w:tr>
    </w:tbl>
    <w:p w:rsidR="00BB63DF" w:rsidRDefault="00BB63DF" w:rsidP="0077776D">
      <w:pPr>
        <w:ind w:left="0" w:firstLine="0"/>
        <w:jc w:val="center"/>
      </w:pPr>
    </w:p>
    <w:p w:rsidR="00502F78" w:rsidRDefault="00502F78"/>
    <w:sectPr w:rsidR="00502F78" w:rsidSect="007777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7BB"/>
    <w:multiLevelType w:val="hybridMultilevel"/>
    <w:tmpl w:val="9E140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1270F"/>
    <w:multiLevelType w:val="hybridMultilevel"/>
    <w:tmpl w:val="41E6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C11B5"/>
    <w:multiLevelType w:val="hybridMultilevel"/>
    <w:tmpl w:val="09F8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61FBC"/>
    <w:multiLevelType w:val="hybridMultilevel"/>
    <w:tmpl w:val="9E140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D32CD"/>
    <w:multiLevelType w:val="hybridMultilevel"/>
    <w:tmpl w:val="5576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776D"/>
    <w:rsid w:val="0006491B"/>
    <w:rsid w:val="0007730D"/>
    <w:rsid w:val="00143ADE"/>
    <w:rsid w:val="0019652C"/>
    <w:rsid w:val="001F5D4C"/>
    <w:rsid w:val="0024779F"/>
    <w:rsid w:val="002479FB"/>
    <w:rsid w:val="0025253D"/>
    <w:rsid w:val="002B11B8"/>
    <w:rsid w:val="002C4427"/>
    <w:rsid w:val="002E1EBD"/>
    <w:rsid w:val="00316A78"/>
    <w:rsid w:val="00340C9A"/>
    <w:rsid w:val="00374786"/>
    <w:rsid w:val="004D2F15"/>
    <w:rsid w:val="004D7A65"/>
    <w:rsid w:val="00502F78"/>
    <w:rsid w:val="00537AAF"/>
    <w:rsid w:val="00577A29"/>
    <w:rsid w:val="005D3ABF"/>
    <w:rsid w:val="005D4090"/>
    <w:rsid w:val="006466A4"/>
    <w:rsid w:val="0077776D"/>
    <w:rsid w:val="007807F0"/>
    <w:rsid w:val="00833B2E"/>
    <w:rsid w:val="00835C9F"/>
    <w:rsid w:val="009252E3"/>
    <w:rsid w:val="00946903"/>
    <w:rsid w:val="00951787"/>
    <w:rsid w:val="00982C43"/>
    <w:rsid w:val="00996FE3"/>
    <w:rsid w:val="00A31B10"/>
    <w:rsid w:val="00AD3B53"/>
    <w:rsid w:val="00AF518F"/>
    <w:rsid w:val="00B12358"/>
    <w:rsid w:val="00B46E57"/>
    <w:rsid w:val="00BA7E4D"/>
    <w:rsid w:val="00BB63DF"/>
    <w:rsid w:val="00BB7C10"/>
    <w:rsid w:val="00C633C7"/>
    <w:rsid w:val="00C96F4F"/>
    <w:rsid w:val="00DE0659"/>
    <w:rsid w:val="00DE1941"/>
    <w:rsid w:val="00E5673D"/>
    <w:rsid w:val="00EC759B"/>
    <w:rsid w:val="00F14FFD"/>
    <w:rsid w:val="00F2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59B"/>
    <w:p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59B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5</cp:revision>
  <cp:lastPrinted>2015-03-07T01:31:00Z</cp:lastPrinted>
  <dcterms:created xsi:type="dcterms:W3CDTF">2015-03-07T01:30:00Z</dcterms:created>
  <dcterms:modified xsi:type="dcterms:W3CDTF">2015-04-06T01:17:00Z</dcterms:modified>
</cp:coreProperties>
</file>