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color w:val="5f5c5c"/>
          <w:sz w:val="21"/>
          <w:szCs w:val="21"/>
          <w:highlight w:val="white"/>
          <w:rtl w:val="0"/>
        </w:rPr>
        <w:t xml:space="preserve">Starfish, brittle stars, sea urchins, and sea cucumbers all belong to the family of echinoderms. These slow-moving, headless invertebrates are the only animals with bodies based on a five-pointed structure. All echinoderms live in salt water.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5f5c5c"/>
          <w:sz w:val="21"/>
          <w:szCs w:val="21"/>
          <w:highlight w:val="white"/>
          <w:rtl w:val="0"/>
        </w:rPr>
        <w:t xml:space="preserve">Echinoderms have a spiny body that usually divides into five equal parts. They walk on hundreds of tube feet that are full of water. If they lose part of their body, they can regrow it. They have a skeleton of calcium-carbonate plates.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5f5c5c"/>
          <w:sz w:val="21"/>
          <w:szCs w:val="21"/>
          <w:highlight w:val="white"/>
          <w:rtl w:val="0"/>
        </w:rPr>
        <w:t xml:space="preserve">Most echinoderms are mobile, although sea lilies are stationary. They live on shores, reefs, and the seabed. There are about 6,000 species.</w:t>
      </w:r>
    </w:p>
    <w:tbl>
      <w:tblPr>
        <w:tblStyle w:val="Table1"/>
        <w:bidi w:val="0"/>
        <w:tblW w:w="2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tblGridChange w:id="0">
          <w:tblGrid>
            <w:gridCol w:w="2700"/>
          </w:tblGrid>
        </w:tblGridChange>
      </w:tblGrid>
      <w:tr>
        <w:tc>
          <w:tcPr>
            <w:tcMar>
              <w:left w:w="0.0" w:type="dxa"/>
              <w:right w:w="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5f5c5c"/>
                <w:sz w:val="21"/>
                <w:szCs w:val="21"/>
                <w:highlight w:val="white"/>
                <w:rtl w:val="0"/>
              </w:rPr>
              <w:t xml:space="preserve">Echioderms are divided into six classes.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5f5c5c"/>
                <w:sz w:val="21"/>
                <w:szCs w:val="21"/>
                <w:highlight w:val="white"/>
                <w:rtl w:val="0"/>
              </w:rPr>
              <w:t xml:space="preserve">Sea lilies and feather stars</w:t>
            </w:r>
          </w:p>
        </w:tc>
      </w:tr>
      <w:tr>
        <w:tc>
          <w:tcPr>
            <w:tcMar>
              <w:left w:w="0.0" w:type="dxa"/>
              <w:right w:w="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5f5c5c"/>
                <w:sz w:val="21"/>
                <w:szCs w:val="21"/>
                <w:highlight w:val="white"/>
                <w:rtl w:val="0"/>
              </w:rPr>
              <w:t xml:space="preserve">Starfish</w:t>
            </w:r>
          </w:p>
        </w:tc>
      </w:tr>
      <w:tr>
        <w:tc>
          <w:tcPr>
            <w:tcMar>
              <w:left w:w="0.0" w:type="dxa"/>
              <w:right w:w="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5f5c5c"/>
                <w:sz w:val="21"/>
                <w:szCs w:val="21"/>
                <w:highlight w:val="white"/>
                <w:rtl w:val="0"/>
              </w:rPr>
              <w:t xml:space="preserve">Brittle stars and basket stars</w:t>
            </w:r>
          </w:p>
        </w:tc>
      </w:tr>
      <w:tr>
        <w:tc>
          <w:tcPr>
            <w:tcMar>
              <w:left w:w="0.0" w:type="dxa"/>
              <w:right w:w="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5f5c5c"/>
                <w:sz w:val="21"/>
                <w:szCs w:val="21"/>
                <w:highlight w:val="white"/>
                <w:rtl w:val="0"/>
              </w:rPr>
              <w:t xml:space="preserve">Sea cucumbers</w:t>
            </w:r>
          </w:p>
        </w:tc>
      </w:tr>
      <w:tr>
        <w:tc>
          <w:tcPr>
            <w:tcMar>
              <w:left w:w="0.0" w:type="dxa"/>
              <w:right w:w="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5f5c5c"/>
                <w:sz w:val="21"/>
                <w:szCs w:val="21"/>
                <w:highlight w:val="white"/>
                <w:rtl w:val="0"/>
              </w:rPr>
              <w:t xml:space="preserve">Sea urchins</w:t>
            </w:r>
          </w:p>
        </w:tc>
      </w:tr>
      <w:tr>
        <w:tc>
          <w:tcPr>
            <w:tcMar>
              <w:left w:w="0.0" w:type="dxa"/>
              <w:right w:w="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5f5c5c"/>
                <w:sz w:val="21"/>
                <w:szCs w:val="21"/>
                <w:highlight w:val="white"/>
                <w:rtl w:val="0"/>
              </w:rPr>
              <w:t xml:space="preserve">Sea daisies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(starfish)</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Features: central mouth on underside, surrounded by arms (usually five)</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(sea urchins)</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Features: spherical skeleton covered in spines</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feather stars, sea lilies)</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Features: mouth faces upwards, feed on plankton</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(sea cucumbers)</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Features: sausage-like body with tentacles around mouth</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